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7C11D" w14:textId="20ADB6D7" w:rsidR="005200B5" w:rsidRPr="00B57548" w:rsidRDefault="00F35315" w:rsidP="005200B5">
      <w:pPr>
        <w:ind w:right="-1"/>
        <w:jc w:val="right"/>
        <w:rPr>
          <w:rFonts w:ascii="Verdana" w:hAnsi="Verdana"/>
          <w:color w:val="002060"/>
        </w:rPr>
      </w:pPr>
      <w:r>
        <w:rPr>
          <w:rFonts w:ascii="Verdana" w:hAnsi="Verdana"/>
          <w:noProof/>
          <w:color w:val="002060"/>
        </w:rPr>
        <w:drawing>
          <wp:inline distT="0" distB="0" distL="0" distR="0" wp14:anchorId="5022BC80" wp14:editId="1493FD8C">
            <wp:extent cx="334800" cy="334800"/>
            <wp:effectExtent l="0" t="0" r="8255" b="8255"/>
            <wp:docPr id="1707257233" name="Imagen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57233" name="Imagen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b/>
          <w:bCs/>
          <w:caps/>
          <w:noProof/>
          <w:color w:val="081826" w:themeColor="background2" w:themeShade="1A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E77C7F0" wp14:editId="6BDCE6ED">
            <wp:simplePos x="0" y="0"/>
            <wp:positionH relativeFrom="column">
              <wp:posOffset>5101590</wp:posOffset>
            </wp:positionH>
            <wp:positionV relativeFrom="paragraph">
              <wp:posOffset>0</wp:posOffset>
            </wp:positionV>
            <wp:extent cx="333375" cy="333375"/>
            <wp:effectExtent l="0" t="0" r="9525" b="9525"/>
            <wp:wrapSquare wrapText="bothSides"/>
            <wp:docPr id="1229539892" name="Imagen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39892" name="Imagen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5136" w:rsidRPr="00B57548">
        <w:rPr>
          <w:rFonts w:ascii="Verdana" w:hAnsi="Verdana"/>
          <w:noProof/>
          <w:lang w:eastAsia="es-ES"/>
        </w:rPr>
        <w:drawing>
          <wp:anchor distT="0" distB="0" distL="114300" distR="114300" simplePos="0" relativeHeight="251642880" behindDoc="0" locked="0" layoutInCell="1" allowOverlap="1" wp14:anchorId="261FF39D" wp14:editId="52919A58">
            <wp:simplePos x="0" y="0"/>
            <wp:positionH relativeFrom="column">
              <wp:posOffset>-13335</wp:posOffset>
            </wp:positionH>
            <wp:positionV relativeFrom="paragraph">
              <wp:posOffset>-109220</wp:posOffset>
            </wp:positionV>
            <wp:extent cx="1064895" cy="677545"/>
            <wp:effectExtent l="0" t="0" r="1905" b="8255"/>
            <wp:wrapNone/>
            <wp:docPr id="5" name="0 Imagen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 Imagen" descr="Icono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859CA" w14:textId="7CFC7D44" w:rsidR="005200B5" w:rsidRPr="00B57548" w:rsidRDefault="005200B5" w:rsidP="005200B5">
      <w:pPr>
        <w:pStyle w:val="Sinespaciado"/>
        <w:rPr>
          <w:rFonts w:ascii="Verdana" w:hAnsi="Verdana" w:cs="Arial"/>
          <w:b/>
          <w:bCs/>
          <w:caps/>
          <w:noProof/>
          <w:color w:val="040B12" w:themeColor="accent1" w:themeShade="80"/>
          <w:sz w:val="28"/>
          <w:szCs w:val="28"/>
        </w:rPr>
      </w:pPr>
    </w:p>
    <w:p w14:paraId="4DDB9388" w14:textId="1F7EEB2D" w:rsidR="00662D1F" w:rsidRDefault="00662D1F" w:rsidP="007440A4">
      <w:pPr>
        <w:pStyle w:val="Sinespaciado"/>
        <w:rPr>
          <w:rFonts w:ascii="Verdana" w:hAnsi="Verdana" w:cs="Arial"/>
          <w:b/>
          <w:bCs/>
          <w:caps/>
          <w:noProof/>
          <w:color w:val="040B12" w:themeColor="accent1" w:themeShade="80"/>
          <w:sz w:val="28"/>
          <w:szCs w:val="28"/>
        </w:rPr>
      </w:pPr>
    </w:p>
    <w:p w14:paraId="06ADDB05" w14:textId="302DD94D" w:rsidR="00E34CE3" w:rsidRDefault="007758C6" w:rsidP="00023826">
      <w:pPr>
        <w:jc w:val="both"/>
        <w:rPr>
          <w:rFonts w:ascii="Verdana" w:hAnsi="Verdana" w:cs="Arial"/>
          <w:b/>
          <w:bCs/>
          <w:caps/>
          <w:color w:val="082533" w:themeColor="accent3" w:themeShade="80"/>
          <w:sz w:val="28"/>
          <w:szCs w:val="28"/>
        </w:rPr>
      </w:pPr>
      <w:r w:rsidRPr="007758C6">
        <w:rPr>
          <w:rFonts w:ascii="Verdana" w:hAnsi="Verdana" w:cs="Arial"/>
          <w:b/>
          <w:bCs/>
          <w:caps/>
          <w:color w:val="082533" w:themeColor="accent3" w:themeShade="80"/>
          <w:sz w:val="28"/>
          <w:szCs w:val="28"/>
        </w:rPr>
        <w:t>Real Decreto 252/2025 por el que se aprueba el Reglamento del Impuesto Complementario</w:t>
      </w:r>
    </w:p>
    <w:p w14:paraId="2203225F" w14:textId="77777777" w:rsidR="007758C6" w:rsidRDefault="007758C6" w:rsidP="00023826">
      <w:pPr>
        <w:jc w:val="both"/>
        <w:rPr>
          <w:rFonts w:ascii="Verdana" w:hAnsi="Verdana" w:cs="Arial"/>
          <w:b/>
          <w:bCs/>
          <w:caps/>
          <w:color w:val="082533" w:themeColor="accent3" w:themeShade="80"/>
          <w:sz w:val="28"/>
          <w:szCs w:val="28"/>
        </w:rPr>
      </w:pPr>
    </w:p>
    <w:p w14:paraId="6CC209B0" w14:textId="62857D6A" w:rsidR="00E34CE3" w:rsidRPr="00E34CE3" w:rsidRDefault="00E34CE3" w:rsidP="00E34CE3">
      <w:pPr>
        <w:jc w:val="both"/>
        <w:rPr>
          <w:rFonts w:ascii="Verdana" w:eastAsia="Times New Roman" w:hAnsi="Verdana" w:cs="Helvetica"/>
        </w:rPr>
      </w:pPr>
      <w:r>
        <w:rPr>
          <w:rFonts w:ascii="Verdana" w:eastAsia="Times New Roman" w:hAnsi="Verdana" w:cs="Helvetica"/>
        </w:rPr>
        <w:t xml:space="preserve">El 2 de abril se publicó </w:t>
      </w:r>
      <w:r w:rsidRPr="00E34CE3">
        <w:rPr>
          <w:rFonts w:ascii="Verdana" w:eastAsia="Times New Roman" w:hAnsi="Verdana" w:cs="Helvetica"/>
        </w:rPr>
        <w:t xml:space="preserve">en el BOE el </w:t>
      </w:r>
      <w:r w:rsidRPr="00E34CE3">
        <w:rPr>
          <w:rFonts w:ascii="Verdana" w:eastAsia="Times New Roman" w:hAnsi="Verdana" w:cs="Helvetica"/>
          <w:b/>
          <w:bCs/>
        </w:rPr>
        <w:t>Real Decreto 252/2025, de 1 de abril, por el que se aprueba el Reglamento del Impuesto Complementario para garantizar un nivel mínimo global de imposición para los grupos multinacionales y los grupos nacionales de gran magnitud</w:t>
      </w:r>
      <w:r w:rsidRPr="00E34CE3">
        <w:rPr>
          <w:rFonts w:ascii="Verdana" w:eastAsia="Times New Roman" w:hAnsi="Verdana" w:cs="Helvetica"/>
        </w:rPr>
        <w:t xml:space="preserve">. </w:t>
      </w:r>
    </w:p>
    <w:p w14:paraId="2CF743E4" w14:textId="1574B2A5" w:rsidR="00E34CE3" w:rsidRPr="00E34CE3" w:rsidRDefault="00E34CE3" w:rsidP="00E34CE3">
      <w:pPr>
        <w:jc w:val="both"/>
        <w:rPr>
          <w:rFonts w:ascii="Verdana" w:eastAsia="Times New Roman" w:hAnsi="Verdana" w:cs="Helvetica"/>
        </w:rPr>
      </w:pPr>
      <w:r w:rsidRPr="00E34CE3">
        <w:rPr>
          <w:rFonts w:ascii="Verdana" w:eastAsia="Times New Roman" w:hAnsi="Verdana" w:cs="Helvetica"/>
        </w:rPr>
        <w:t xml:space="preserve">El Real Decreto desarrolla determinados aspectos de la </w:t>
      </w:r>
      <w:r w:rsidRPr="00E34CE3">
        <w:rPr>
          <w:rFonts w:ascii="Verdana" w:eastAsia="Times New Roman" w:hAnsi="Verdana" w:cs="Helvetica"/>
          <w:b/>
          <w:bCs/>
        </w:rPr>
        <w:t>Ley 7/2024, de 20 de diciembre, por la que se establece un Impuesto Complementario para garantizar un nivel mínimo global de imposición para los grupos multinacionales y los grupos nacionales de gran magnitud</w:t>
      </w:r>
      <w:r w:rsidRPr="00E34CE3">
        <w:rPr>
          <w:rFonts w:ascii="Verdana" w:eastAsia="Times New Roman" w:hAnsi="Verdana" w:cs="Helvetica"/>
        </w:rPr>
        <w:t>, publicad</w:t>
      </w:r>
      <w:r w:rsidR="009C3ED3">
        <w:rPr>
          <w:rFonts w:ascii="Verdana" w:eastAsia="Times New Roman" w:hAnsi="Verdana" w:cs="Helvetica"/>
        </w:rPr>
        <w:t xml:space="preserve">a </w:t>
      </w:r>
      <w:r w:rsidRPr="00E34CE3">
        <w:rPr>
          <w:rFonts w:ascii="Verdana" w:eastAsia="Times New Roman" w:hAnsi="Verdana" w:cs="Helvetica"/>
        </w:rPr>
        <w:t xml:space="preserve">en diciembre de 2024, que transpuso al derecho español la Directiva (UE) 2022/2523 del Consejo de 15 de diciembre de 2022 relativa a la garantía de un nivel mínimo global de imposición para los grupos de empresas multinacionales y los grupos nacionales de gran magnitud en la Unión (en adelante, “ Directiva 2022/2523”) y que </w:t>
      </w:r>
      <w:r w:rsidRPr="00E34CE3">
        <w:rPr>
          <w:rFonts w:ascii="Verdana" w:eastAsia="Times New Roman" w:hAnsi="Verdana" w:cs="Helvetica"/>
          <w:b/>
          <w:bCs/>
        </w:rPr>
        <w:t>excluye de su ámbito de aplicación</w:t>
      </w:r>
      <w:r w:rsidRPr="00E34CE3">
        <w:rPr>
          <w:rFonts w:ascii="Verdana" w:eastAsia="Times New Roman" w:hAnsi="Verdana" w:cs="Helvetica"/>
        </w:rPr>
        <w:t xml:space="preserve"> a las entidades públicas, las organizaciones internacionales, las organizaciones sin ánimo de lucro, </w:t>
      </w:r>
      <w:r w:rsidRPr="00E34CE3">
        <w:rPr>
          <w:rFonts w:ascii="Verdana" w:eastAsia="Times New Roman" w:hAnsi="Verdana" w:cs="Helvetica"/>
          <w:b/>
          <w:bCs/>
        </w:rPr>
        <w:t>los fondos de pensiones, y los fondos de inversión e instrumentos de inversión inmobiliarios cuando sean entidad matriz última</w:t>
      </w:r>
      <w:r w:rsidR="009C3ED3">
        <w:rPr>
          <w:rFonts w:ascii="Verdana" w:eastAsia="Times New Roman" w:hAnsi="Verdana" w:cs="Helvetica"/>
        </w:rPr>
        <w:t>.</w:t>
      </w:r>
    </w:p>
    <w:p w14:paraId="24F45C91" w14:textId="581A315C" w:rsidR="00E34CE3" w:rsidRPr="00E34CE3" w:rsidRDefault="009A6D38" w:rsidP="00E34CE3">
      <w:pPr>
        <w:jc w:val="both"/>
        <w:rPr>
          <w:rFonts w:ascii="Verdana" w:eastAsia="Times New Roman" w:hAnsi="Verdana" w:cs="Helvetica"/>
        </w:rPr>
      </w:pPr>
      <w:r>
        <w:rPr>
          <w:rFonts w:ascii="Verdana" w:eastAsia="Times New Roman" w:hAnsi="Verdana" w:cs="Helvetica"/>
          <w:b/>
          <w:bCs/>
        </w:rPr>
        <w:t>E</w:t>
      </w:r>
      <w:r w:rsidR="00E34CE3" w:rsidRPr="00E34CE3">
        <w:rPr>
          <w:rFonts w:ascii="Verdana" w:eastAsia="Times New Roman" w:hAnsi="Verdana" w:cs="Helvetica"/>
          <w:b/>
          <w:bCs/>
        </w:rPr>
        <w:t>l Real Decreto</w:t>
      </w:r>
      <w:r w:rsidR="00E34CE3" w:rsidRPr="00E34CE3">
        <w:rPr>
          <w:rFonts w:ascii="Verdana" w:eastAsia="Times New Roman" w:hAnsi="Verdana" w:cs="Helvetica"/>
        </w:rPr>
        <w:t xml:space="preserve"> incorpora ajustes técnicos y precisiones respecto a (i) las reglas para la determinación de la base imponible y de los impuestos cubiertos ajustados al Impuesto Complementario (Título II) (</w:t>
      </w:r>
      <w:proofErr w:type="spellStart"/>
      <w:r w:rsidR="00E34CE3" w:rsidRPr="00E34CE3">
        <w:rPr>
          <w:rFonts w:ascii="Verdana" w:eastAsia="Times New Roman" w:hAnsi="Verdana" w:cs="Helvetica"/>
        </w:rPr>
        <w:t>ii</w:t>
      </w:r>
      <w:proofErr w:type="spellEnd"/>
      <w:r w:rsidR="00E34CE3" w:rsidRPr="00E34CE3">
        <w:rPr>
          <w:rFonts w:ascii="Verdana" w:eastAsia="Times New Roman" w:hAnsi="Verdana" w:cs="Helvetica"/>
        </w:rPr>
        <w:t>) las reglas necesarias para el correcto cálculo del Impuesto Complementario (Título III) y (</w:t>
      </w:r>
      <w:proofErr w:type="spellStart"/>
      <w:r w:rsidR="00E34CE3" w:rsidRPr="00E34CE3">
        <w:rPr>
          <w:rFonts w:ascii="Verdana" w:eastAsia="Times New Roman" w:hAnsi="Verdana" w:cs="Helvetica"/>
        </w:rPr>
        <w:t>iii</w:t>
      </w:r>
      <w:proofErr w:type="spellEnd"/>
      <w:r w:rsidR="00E34CE3" w:rsidRPr="00E34CE3">
        <w:rPr>
          <w:rFonts w:ascii="Verdana" w:eastAsia="Times New Roman" w:hAnsi="Verdana" w:cs="Helvetica"/>
        </w:rPr>
        <w:t xml:space="preserve">) la declaración informativa del Impuesto Complementario (Título IV). </w:t>
      </w:r>
    </w:p>
    <w:p w14:paraId="2E6D8394" w14:textId="77777777" w:rsidR="009A6D38" w:rsidRDefault="009A6D38" w:rsidP="004F70D5">
      <w:pPr>
        <w:jc w:val="both"/>
        <w:rPr>
          <w:rFonts w:ascii="Arial" w:eastAsia="Times New Roman" w:hAnsi="Arial" w:cs="Arial"/>
        </w:rPr>
      </w:pPr>
    </w:p>
    <w:p w14:paraId="321F2E90" w14:textId="6960D120" w:rsidR="009A6D38" w:rsidRDefault="009A6D38" w:rsidP="004F70D5">
      <w:pPr>
        <w:jc w:val="both"/>
        <w:rPr>
          <w:rFonts w:ascii="Arial" w:eastAsia="Times New Roman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3A259" wp14:editId="083BAED1">
                <wp:simplePos x="0" y="0"/>
                <wp:positionH relativeFrom="margin">
                  <wp:posOffset>-1905</wp:posOffset>
                </wp:positionH>
                <wp:positionV relativeFrom="paragraph">
                  <wp:posOffset>15875</wp:posOffset>
                </wp:positionV>
                <wp:extent cx="5133975" cy="2678430"/>
                <wp:effectExtent l="57150" t="19050" r="66675" b="102870"/>
                <wp:wrapNone/>
                <wp:docPr id="306573755" name="Rectángulo: esquinas redondeadas 306573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267843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cap="rnd">
                          <a:noFill/>
                          <a:prstDash val="sysDash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FCE48" w14:textId="77777777" w:rsidR="009A6D38" w:rsidRPr="00860058" w:rsidRDefault="009A6D38" w:rsidP="009A6D38">
                            <w:pPr>
                              <w:ind w:left="142" w:right="218"/>
                              <w:jc w:val="both"/>
                              <w:rPr>
                                <w:rFonts w:ascii="Verdana" w:hAnsi="Verdana"/>
                                <w:color w:val="040B12" w:themeColor="accent1" w:themeShade="8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noProof/>
                                <w:color w:val="DCEAF7" w:themeColor="background2"/>
                              </w:rPr>
                              <w:drawing>
                                <wp:inline distT="0" distB="0" distL="0" distR="0" wp14:anchorId="316F0EC1" wp14:editId="0C95C986">
                                  <wp:extent cx="323850" cy="323850"/>
                                  <wp:effectExtent l="0" t="0" r="0" b="0"/>
                                  <wp:docPr id="1568948351" name="Gráfico 2" descr="Información con relleno sóli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1839249" name="Gráfico 721839249" descr="Información con relleno sólido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35315">
                              <w:rPr>
                                <w:rFonts w:ascii="Verdana" w:hAnsi="Verdana" w:cs="Arial"/>
                                <w:b/>
                                <w:color w:val="081826" w:themeColor="background2" w:themeShade="1A"/>
                              </w:rPr>
                              <w:t>Para una información más detallada sobre esta cuestión, se puede acceder a las siguientes comunicaciones en el área privada de la página web de la Asociación:</w:t>
                            </w:r>
                          </w:p>
                          <w:p w14:paraId="1FE8B168" w14:textId="50285BD6" w:rsidR="009A6D38" w:rsidRPr="005437B0" w:rsidRDefault="009A6D38" w:rsidP="0090611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after="0" w:line="276" w:lineRule="auto"/>
                              <w:ind w:right="218"/>
                              <w:jc w:val="both"/>
                              <w:rPr>
                                <w:rFonts w:ascii="Verdana" w:hAnsi="Verdana"/>
                                <w:color w:val="040B12" w:themeColor="accent1" w:themeShade="80"/>
                              </w:rPr>
                            </w:pPr>
                            <w:hyperlink r:id="rId16" w:history="1">
                              <w:r w:rsidRPr="005437B0">
                                <w:rPr>
                                  <w:rStyle w:val="Hipervnculo"/>
                                  <w:rFonts w:ascii="Verdana" w:hAnsi="Verdana"/>
                                </w:rPr>
                                <w:t>RD 252/2025: Reglamento del Impuesto Complementario</w:t>
                              </w:r>
                            </w:hyperlink>
                            <w:r w:rsidRPr="005437B0">
                              <w:rPr>
                                <w:rFonts w:ascii="Verdana" w:hAnsi="Verdana"/>
                                <w:color w:val="040B12" w:themeColor="accent1" w:themeShade="80"/>
                              </w:rPr>
                              <w:t xml:space="preserve"> (Ref.: 134/2025)</w:t>
                            </w:r>
                          </w:p>
                          <w:p w14:paraId="28398652" w14:textId="77777777" w:rsidR="009A6D38" w:rsidRPr="009A6D38" w:rsidRDefault="009A6D38" w:rsidP="009A6D3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after="0" w:line="276" w:lineRule="auto"/>
                              <w:ind w:right="218"/>
                              <w:jc w:val="both"/>
                              <w:rPr>
                                <w:rFonts w:ascii="Verdana" w:hAnsi="Verdana"/>
                                <w:color w:val="040B12" w:themeColor="accent1" w:themeShade="80"/>
                              </w:rPr>
                            </w:pPr>
                            <w:hyperlink r:id="rId17" w:history="1">
                              <w:r w:rsidRPr="00E34CE3">
                                <w:rPr>
                                  <w:rStyle w:val="Hipervnculo"/>
                                  <w:rFonts w:ascii="Verdana" w:hAnsi="Verdana"/>
                                </w:rPr>
                                <w:t>Ley 7_2024_ de 20 de diciembre_ por la que se establecen un Impuesto Complementario_ Modificación tipo de gravamen ahorro</w:t>
                              </w:r>
                            </w:hyperlink>
                            <w:r w:rsidRPr="00E34CE3">
                              <w:rPr>
                                <w:rFonts w:ascii="Verdana" w:hAnsi="Verdana"/>
                                <w:color w:val="040B12" w:themeColor="accent1" w:themeShade="80"/>
                              </w:rPr>
                              <w:t xml:space="preserve"> (Ref.: 393/2024)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3A259" id="Rectángulo: esquinas redondeadas 306573755" o:spid="_x0000_s1026" style="position:absolute;left:0;text-align:left;margin-left:-.15pt;margin-top:1.25pt;width:404.25pt;height:210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" fillcolor="#dceaf7 [3214]" stroked="f" strokeweight="1pt">
                <v:stroke dashstyle="3 1" joinstyle="miter" endcap="round"/>
                <v:shadow on="t" color="black" opacity="26214f" origin=",-.5" offset="0,3pt"/>
                <v:textbox>
                  <w:txbxContent>
                    <w:p w14:paraId="70CFCE48" w14:textId="77777777" w:rsidR="009A6D38" w:rsidRPr="00860058" w:rsidRDefault="009A6D38" w:rsidP="009A6D38">
                      <w:pPr>
                        <w:ind w:left="142" w:right="218"/>
                        <w:jc w:val="both"/>
                        <w:rPr>
                          <w:rFonts w:ascii="Verdana" w:hAnsi="Verdana"/>
                          <w:color w:val="040B12" w:themeColor="accent1" w:themeShade="80"/>
                        </w:rPr>
                      </w:pPr>
                      <w:r>
                        <w:rPr>
                          <w:rFonts w:ascii="Verdana" w:hAnsi="Verdana" w:cs="Arial"/>
                          <w:b/>
                          <w:noProof/>
                          <w:color w:val="DCEAF7" w:themeColor="background2"/>
                        </w:rPr>
                        <w:drawing>
                          <wp:inline distT="0" distB="0" distL="0" distR="0" wp14:anchorId="316F0EC1" wp14:editId="0C95C986">
                            <wp:extent cx="323850" cy="323850"/>
                            <wp:effectExtent l="0" t="0" r="0" b="0"/>
                            <wp:docPr id="1568948351" name="Gráfico 2" descr="Información con relleno sóli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1839249" name="Gráfico 721839249" descr="Información con relleno sólido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35315">
                        <w:rPr>
                          <w:rFonts w:ascii="Verdana" w:hAnsi="Verdana" w:cs="Arial"/>
                          <w:b/>
                          <w:color w:val="081826" w:themeColor="background2" w:themeShade="1A"/>
                        </w:rPr>
                        <w:t>Para una información más detallada sobre esta cuestión, se puede acceder a las siguientes comunicaciones en el área privada de la página web de la Asociación:</w:t>
                      </w:r>
                    </w:p>
                    <w:p w14:paraId="1FE8B168" w14:textId="50285BD6" w:rsidR="009A6D38" w:rsidRPr="005437B0" w:rsidRDefault="009A6D38" w:rsidP="0090611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after="0" w:line="276" w:lineRule="auto"/>
                        <w:ind w:right="218"/>
                        <w:jc w:val="both"/>
                        <w:rPr>
                          <w:rFonts w:ascii="Verdana" w:hAnsi="Verdana"/>
                          <w:color w:val="040B12" w:themeColor="accent1" w:themeShade="80"/>
                        </w:rPr>
                      </w:pPr>
                      <w:hyperlink r:id="rId18" w:history="1">
                        <w:r w:rsidRPr="005437B0">
                          <w:rPr>
                            <w:rStyle w:val="Hipervnculo"/>
                            <w:rFonts w:ascii="Verdana" w:hAnsi="Verdana"/>
                          </w:rPr>
                          <w:t>RD 252/2025: Reglamento del Impuesto Complementario</w:t>
                        </w:r>
                      </w:hyperlink>
                      <w:r w:rsidRPr="005437B0">
                        <w:rPr>
                          <w:rFonts w:ascii="Verdana" w:hAnsi="Verdana"/>
                          <w:color w:val="040B12" w:themeColor="accent1" w:themeShade="80"/>
                        </w:rPr>
                        <w:t xml:space="preserve"> (Ref.: 134/2025)</w:t>
                      </w:r>
                    </w:p>
                    <w:p w14:paraId="28398652" w14:textId="77777777" w:rsidR="009A6D38" w:rsidRPr="009A6D38" w:rsidRDefault="009A6D38" w:rsidP="009A6D3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after="0" w:line="276" w:lineRule="auto"/>
                        <w:ind w:right="218"/>
                        <w:jc w:val="both"/>
                        <w:rPr>
                          <w:rFonts w:ascii="Verdana" w:hAnsi="Verdana"/>
                          <w:color w:val="040B12" w:themeColor="accent1" w:themeShade="80"/>
                        </w:rPr>
                      </w:pPr>
                      <w:hyperlink r:id="rId19" w:history="1">
                        <w:r w:rsidRPr="00E34CE3">
                          <w:rPr>
                            <w:rStyle w:val="Hipervnculo"/>
                            <w:rFonts w:ascii="Verdana" w:hAnsi="Verdana"/>
                          </w:rPr>
                          <w:t>Ley 7_2024_ de 20 de diciembre_ por la que se establecen un Impuesto Complementario_ Modificación tipo de gravamen ahorro</w:t>
                        </w:r>
                      </w:hyperlink>
                      <w:r w:rsidRPr="00E34CE3">
                        <w:rPr>
                          <w:rFonts w:ascii="Verdana" w:hAnsi="Verdana"/>
                          <w:color w:val="040B12" w:themeColor="accent1" w:themeShade="80"/>
                        </w:rPr>
                        <w:t xml:space="preserve"> (Ref.: 393/2024)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CA2FD1" w14:textId="77777777" w:rsidR="009A6D38" w:rsidRDefault="009A6D38" w:rsidP="004F70D5">
      <w:pPr>
        <w:jc w:val="both"/>
        <w:rPr>
          <w:rFonts w:ascii="Arial" w:eastAsia="Times New Roman" w:hAnsi="Arial" w:cs="Arial"/>
        </w:rPr>
      </w:pPr>
    </w:p>
    <w:p w14:paraId="4E96BC0C" w14:textId="77777777" w:rsidR="009A6D38" w:rsidRDefault="009A6D38" w:rsidP="004F70D5">
      <w:pPr>
        <w:jc w:val="both"/>
        <w:rPr>
          <w:rFonts w:ascii="Arial" w:eastAsia="Times New Roman" w:hAnsi="Arial" w:cs="Arial"/>
        </w:rPr>
      </w:pPr>
    </w:p>
    <w:p w14:paraId="5ED40D51" w14:textId="77777777" w:rsidR="009A6D38" w:rsidRDefault="009A6D38" w:rsidP="004F70D5">
      <w:pPr>
        <w:jc w:val="both"/>
        <w:rPr>
          <w:rFonts w:ascii="Arial" w:eastAsia="Times New Roman" w:hAnsi="Arial" w:cs="Arial"/>
        </w:rPr>
      </w:pPr>
    </w:p>
    <w:p w14:paraId="5F908C33" w14:textId="77777777" w:rsidR="009A6D38" w:rsidRDefault="009A6D38" w:rsidP="004F70D5">
      <w:pPr>
        <w:jc w:val="both"/>
        <w:rPr>
          <w:rFonts w:ascii="Arial" w:eastAsia="Times New Roman" w:hAnsi="Arial" w:cs="Arial"/>
        </w:rPr>
      </w:pPr>
    </w:p>
    <w:p w14:paraId="316DCA90" w14:textId="77777777" w:rsidR="009A6D38" w:rsidRDefault="009A6D38" w:rsidP="004F70D5">
      <w:pPr>
        <w:jc w:val="both"/>
        <w:rPr>
          <w:rFonts w:ascii="Arial" w:eastAsia="Times New Roman" w:hAnsi="Arial" w:cs="Arial"/>
        </w:rPr>
      </w:pPr>
    </w:p>
    <w:p w14:paraId="2FB84138" w14:textId="1A01F985" w:rsidR="00CF55F0" w:rsidRDefault="009A6D38" w:rsidP="009A6D3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  <w:r w:rsidR="00E34CE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644F2D" wp14:editId="053FCE0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133975" cy="5248275"/>
                <wp:effectExtent l="57150" t="19050" r="66675" b="1047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2482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cap="rnd">
                          <a:noFill/>
                          <a:prstDash val="sysDash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211BC" w14:textId="2294BBB4" w:rsidR="00860058" w:rsidRPr="00860058" w:rsidRDefault="00F35315" w:rsidP="00023826">
                            <w:pPr>
                              <w:ind w:left="142" w:right="218"/>
                              <w:jc w:val="both"/>
                              <w:rPr>
                                <w:rFonts w:ascii="Verdana" w:hAnsi="Verdana"/>
                                <w:color w:val="040B12" w:themeColor="accent1" w:themeShade="8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noProof/>
                                <w:color w:val="DCEAF7" w:themeColor="background2"/>
                              </w:rPr>
                              <w:drawing>
                                <wp:inline distT="0" distB="0" distL="0" distR="0" wp14:anchorId="404CBBF2" wp14:editId="19750811">
                                  <wp:extent cx="323850" cy="323850"/>
                                  <wp:effectExtent l="0" t="0" r="0" b="0"/>
                                  <wp:docPr id="721839249" name="Gráfico 2" descr="Información con relleno sóli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1839249" name="Gráfico 721839249" descr="Información con relleno sólido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D187E" w:rsidRPr="00F35315">
                              <w:rPr>
                                <w:rFonts w:ascii="Verdana" w:hAnsi="Verdana" w:cs="Arial"/>
                                <w:b/>
                                <w:color w:val="081826" w:themeColor="background2" w:themeShade="1A"/>
                              </w:rPr>
                              <w:t>Par</w:t>
                            </w:r>
                            <w:r w:rsidR="009E5980" w:rsidRPr="00F35315">
                              <w:rPr>
                                <w:rFonts w:ascii="Verdana" w:hAnsi="Verdana" w:cs="Arial"/>
                                <w:b/>
                                <w:color w:val="081826" w:themeColor="background2" w:themeShade="1A"/>
                              </w:rPr>
                              <w:t>a</w:t>
                            </w:r>
                            <w:r w:rsidR="00DD187E" w:rsidRPr="00F35315">
                              <w:rPr>
                                <w:rFonts w:ascii="Verdana" w:hAnsi="Verdana" w:cs="Arial"/>
                                <w:b/>
                                <w:color w:val="081826" w:themeColor="background2" w:themeShade="1A"/>
                              </w:rPr>
                              <w:t xml:space="preserve"> una información más detallada sobre esta cuestión, se puede acceder a las siguientes comunicaciones en el área privada de la página web de la Asociación</w:t>
                            </w:r>
                            <w:r w:rsidR="009E5980" w:rsidRPr="00F35315">
                              <w:rPr>
                                <w:rFonts w:ascii="Verdana" w:hAnsi="Verdana" w:cs="Arial"/>
                                <w:b/>
                                <w:color w:val="081826" w:themeColor="background2" w:themeShade="1A"/>
                              </w:rPr>
                              <w:t>:</w:t>
                            </w:r>
                          </w:p>
                          <w:p w14:paraId="6F3D5356" w14:textId="639CEA21" w:rsidR="00E34CE3" w:rsidRPr="005437B0" w:rsidRDefault="00E34CE3" w:rsidP="008E70B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after="0" w:line="276" w:lineRule="auto"/>
                              <w:ind w:right="218"/>
                              <w:jc w:val="both"/>
                              <w:rPr>
                                <w:rFonts w:ascii="Verdana" w:hAnsi="Verdana"/>
                                <w:color w:val="040B12" w:themeColor="accent1" w:themeShade="80"/>
                              </w:rPr>
                            </w:pPr>
                            <w:hyperlink r:id="rId21" w:history="1">
                              <w:r w:rsidRPr="005437B0">
                                <w:rPr>
                                  <w:rStyle w:val="Hipervnculo"/>
                                  <w:rFonts w:ascii="Verdana" w:hAnsi="Verdana"/>
                                </w:rPr>
                                <w:t>Audiencia Pública_ Proyecto de RD sobre impuesto complementario para garantizar imposición mínima de grupos multinacionales y grupos nacionales de gran magnitud</w:t>
                              </w:r>
                            </w:hyperlink>
                            <w:r w:rsidRPr="005437B0">
                              <w:rPr>
                                <w:rFonts w:ascii="Verdana" w:hAnsi="Verdana"/>
                                <w:color w:val="040B12" w:themeColor="accent1" w:themeShade="80"/>
                              </w:rPr>
                              <w:t xml:space="preserve"> (Ref.: 363/2024)</w:t>
                            </w:r>
                          </w:p>
                          <w:p w14:paraId="01A16D65" w14:textId="51FEC536" w:rsidR="00E34CE3" w:rsidRPr="005437B0" w:rsidRDefault="00E34CE3" w:rsidP="009B6C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after="0" w:line="276" w:lineRule="auto"/>
                              <w:ind w:right="218"/>
                              <w:jc w:val="both"/>
                              <w:rPr>
                                <w:rFonts w:ascii="Verdana" w:hAnsi="Verdana"/>
                                <w:color w:val="040B12" w:themeColor="accent1" w:themeShade="80"/>
                              </w:rPr>
                            </w:pPr>
                            <w:hyperlink r:id="rId22" w:history="1">
                              <w:r w:rsidRPr="005437B0">
                                <w:rPr>
                                  <w:rStyle w:val="Hipervnculo"/>
                                  <w:rFonts w:ascii="Verdana" w:hAnsi="Verdana"/>
                                </w:rPr>
                                <w:t>PL Impuesto complementario para garantizar imposición mínima de grupos multinacionales y grupos nacionales de gran magnitud</w:t>
                              </w:r>
                            </w:hyperlink>
                            <w:r w:rsidRPr="005437B0">
                              <w:rPr>
                                <w:rFonts w:ascii="Verdana" w:hAnsi="Verdana"/>
                                <w:color w:val="040B12" w:themeColor="accent1" w:themeShade="80"/>
                              </w:rPr>
                              <w:t xml:space="preserve"> (Ref.: 192/2024)</w:t>
                            </w:r>
                          </w:p>
                          <w:p w14:paraId="741E2DC7" w14:textId="1BF0760D" w:rsidR="00E34CE3" w:rsidRPr="005437B0" w:rsidRDefault="00E34CE3" w:rsidP="006226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after="0" w:line="276" w:lineRule="auto"/>
                              <w:ind w:right="218"/>
                              <w:jc w:val="both"/>
                              <w:rPr>
                                <w:rFonts w:ascii="Verdana" w:hAnsi="Verdana"/>
                                <w:color w:val="040B12" w:themeColor="accent1" w:themeShade="80"/>
                              </w:rPr>
                            </w:pPr>
                            <w:hyperlink r:id="rId23" w:history="1">
                              <w:r w:rsidRPr="005437B0">
                                <w:rPr>
                                  <w:rStyle w:val="Hipervnculo"/>
                                  <w:rFonts w:ascii="Verdana" w:hAnsi="Verdana"/>
                                </w:rPr>
                                <w:t>Proyecto de RD sobre impuesto complementario para garantizar imposición mínima de grupos multinacionales y grupos nacionales de gran magnitud</w:t>
                              </w:r>
                            </w:hyperlink>
                            <w:r w:rsidRPr="005437B0">
                              <w:rPr>
                                <w:rFonts w:ascii="Verdana" w:hAnsi="Verdana"/>
                                <w:color w:val="040B12" w:themeColor="accent1" w:themeShade="80"/>
                              </w:rPr>
                              <w:t xml:space="preserve"> (Ref.: 155/2024)</w:t>
                            </w:r>
                          </w:p>
                          <w:p w14:paraId="6C9B3A30" w14:textId="5652D525" w:rsidR="00E34CE3" w:rsidRPr="005437B0" w:rsidRDefault="00E34CE3" w:rsidP="00E850D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after="0" w:line="276" w:lineRule="auto"/>
                              <w:ind w:right="218"/>
                              <w:jc w:val="both"/>
                              <w:rPr>
                                <w:rFonts w:ascii="Verdana" w:hAnsi="Verdana"/>
                                <w:color w:val="040B12" w:themeColor="accent1" w:themeShade="80"/>
                              </w:rPr>
                            </w:pPr>
                            <w:hyperlink r:id="rId24" w:history="1">
                              <w:r w:rsidRPr="005437B0">
                                <w:rPr>
                                  <w:rStyle w:val="Hipervnculo"/>
                                  <w:rFonts w:ascii="Verdana" w:hAnsi="Verdana"/>
                                </w:rPr>
                                <w:t>Anteproyecto de Ley sobre impuesto complementario para garantizar imposición mínima de grupos multinacionales y grupos nacionales de gran magnitud</w:t>
                              </w:r>
                            </w:hyperlink>
                            <w:r w:rsidRPr="005437B0">
                              <w:rPr>
                                <w:rFonts w:ascii="Verdana" w:hAnsi="Verdana"/>
                                <w:color w:val="040B12" w:themeColor="accent1" w:themeShade="80"/>
                              </w:rPr>
                              <w:t xml:space="preserve"> (Ref.: 340/2023)</w:t>
                            </w:r>
                          </w:p>
                          <w:p w14:paraId="14CE8728" w14:textId="014F6720" w:rsidR="00E34CE3" w:rsidRPr="000350B2" w:rsidRDefault="00E34CE3" w:rsidP="00E71C1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240" w:after="0" w:line="276" w:lineRule="auto"/>
                              <w:ind w:right="218"/>
                              <w:jc w:val="both"/>
                              <w:rPr>
                                <w:rFonts w:ascii="Verdana" w:hAnsi="Verdana"/>
                                <w:color w:val="040B12" w:themeColor="accent1" w:themeShade="80"/>
                              </w:rPr>
                            </w:pPr>
                            <w:hyperlink r:id="rId25" w:history="1">
                              <w:r w:rsidRPr="00E34CE3">
                                <w:rPr>
                                  <w:rStyle w:val="Hipervnculo"/>
                                  <w:rFonts w:ascii="Verdana" w:hAnsi="Verdana"/>
                                </w:rPr>
                                <w:t>Consulta pública para la transposición de la Directiva 2022_2523 sobre tipo mínimo grupos sociedades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40B12" w:themeColor="accent1" w:themeShade="80"/>
                              </w:rPr>
                              <w:t xml:space="preserve"> (Ref.: 057/2023)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44F2D" id="Rectángulo: esquinas redondeadas 3" o:spid="_x0000_s1027" style="position:absolute;margin-left:353.05pt;margin-top:.85pt;width:404.25pt;height:413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" fillcolor="#dceaf7 [3214]" stroked="f" strokeweight="1pt">
                <v:stroke dashstyle="3 1" joinstyle="miter" endcap="round"/>
                <v:shadow on="t" color="black" opacity="26214f" origin=",-.5" offset="0,3pt"/>
                <v:textbox>
                  <w:txbxContent>
                    <w:p w14:paraId="516211BC" w14:textId="2294BBB4" w:rsidR="00860058" w:rsidRPr="00860058" w:rsidRDefault="00F35315" w:rsidP="00023826">
                      <w:pPr>
                        <w:ind w:left="142" w:right="218"/>
                        <w:jc w:val="both"/>
                        <w:rPr>
                          <w:rFonts w:ascii="Verdana" w:hAnsi="Verdana"/>
                          <w:color w:val="040B12" w:themeColor="accent1" w:themeShade="80"/>
                        </w:rPr>
                      </w:pPr>
                      <w:r>
                        <w:rPr>
                          <w:rFonts w:ascii="Verdana" w:hAnsi="Verdana" w:cs="Arial"/>
                          <w:b/>
                          <w:noProof/>
                          <w:color w:val="DCEAF7" w:themeColor="background2"/>
                        </w:rPr>
                        <w:drawing>
                          <wp:inline distT="0" distB="0" distL="0" distR="0" wp14:anchorId="404CBBF2" wp14:editId="19750811">
                            <wp:extent cx="323850" cy="323850"/>
                            <wp:effectExtent l="0" t="0" r="0" b="0"/>
                            <wp:docPr id="721839249" name="Gráfico 2" descr="Información con relleno sóli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1839249" name="Gráfico 721839249" descr="Información con relleno sólido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D187E" w:rsidRPr="00F35315">
                        <w:rPr>
                          <w:rFonts w:ascii="Verdana" w:hAnsi="Verdana" w:cs="Arial"/>
                          <w:b/>
                          <w:color w:val="081826" w:themeColor="background2" w:themeShade="1A"/>
                        </w:rPr>
                        <w:t>Par</w:t>
                      </w:r>
                      <w:r w:rsidR="009E5980" w:rsidRPr="00F35315">
                        <w:rPr>
                          <w:rFonts w:ascii="Verdana" w:hAnsi="Verdana" w:cs="Arial"/>
                          <w:b/>
                          <w:color w:val="081826" w:themeColor="background2" w:themeShade="1A"/>
                        </w:rPr>
                        <w:t>a</w:t>
                      </w:r>
                      <w:r w:rsidR="00DD187E" w:rsidRPr="00F35315">
                        <w:rPr>
                          <w:rFonts w:ascii="Verdana" w:hAnsi="Verdana" w:cs="Arial"/>
                          <w:b/>
                          <w:color w:val="081826" w:themeColor="background2" w:themeShade="1A"/>
                        </w:rPr>
                        <w:t xml:space="preserve"> una información más detallada sobre esta cuestión, se puede acceder a las siguientes comunicaciones en el área privada de la página web de la Asociación</w:t>
                      </w:r>
                      <w:r w:rsidR="009E5980" w:rsidRPr="00F35315">
                        <w:rPr>
                          <w:rFonts w:ascii="Verdana" w:hAnsi="Verdana" w:cs="Arial"/>
                          <w:b/>
                          <w:color w:val="081826" w:themeColor="background2" w:themeShade="1A"/>
                        </w:rPr>
                        <w:t>:</w:t>
                      </w:r>
                    </w:p>
                    <w:p w14:paraId="6F3D5356" w14:textId="639CEA21" w:rsidR="00E34CE3" w:rsidRPr="005437B0" w:rsidRDefault="00E34CE3" w:rsidP="008E70B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after="0" w:line="276" w:lineRule="auto"/>
                        <w:ind w:right="218"/>
                        <w:jc w:val="both"/>
                        <w:rPr>
                          <w:rFonts w:ascii="Verdana" w:hAnsi="Verdana"/>
                          <w:color w:val="040B12" w:themeColor="accent1" w:themeShade="80"/>
                        </w:rPr>
                      </w:pPr>
                      <w:hyperlink r:id="rId26" w:history="1">
                        <w:r w:rsidRPr="005437B0">
                          <w:rPr>
                            <w:rStyle w:val="Hipervnculo"/>
                            <w:rFonts w:ascii="Verdana" w:hAnsi="Verdana"/>
                          </w:rPr>
                          <w:t>Audiencia Pública_ Proyecto de RD sobre impuesto complementario para garantizar imposición mínima de grupos multinacionales y grupos nacionales de gran magnitud</w:t>
                        </w:r>
                      </w:hyperlink>
                      <w:r w:rsidRPr="005437B0">
                        <w:rPr>
                          <w:rFonts w:ascii="Verdana" w:hAnsi="Verdana"/>
                          <w:color w:val="040B12" w:themeColor="accent1" w:themeShade="80"/>
                        </w:rPr>
                        <w:t xml:space="preserve"> (Ref.: 363/2024)</w:t>
                      </w:r>
                    </w:p>
                    <w:p w14:paraId="01A16D65" w14:textId="51FEC536" w:rsidR="00E34CE3" w:rsidRPr="005437B0" w:rsidRDefault="00E34CE3" w:rsidP="009B6C2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after="0" w:line="276" w:lineRule="auto"/>
                        <w:ind w:right="218"/>
                        <w:jc w:val="both"/>
                        <w:rPr>
                          <w:rFonts w:ascii="Verdana" w:hAnsi="Verdana"/>
                          <w:color w:val="040B12" w:themeColor="accent1" w:themeShade="80"/>
                        </w:rPr>
                      </w:pPr>
                      <w:hyperlink r:id="rId27" w:history="1">
                        <w:r w:rsidRPr="005437B0">
                          <w:rPr>
                            <w:rStyle w:val="Hipervnculo"/>
                            <w:rFonts w:ascii="Verdana" w:hAnsi="Verdana"/>
                          </w:rPr>
                          <w:t>PL Impuesto complementario para garantizar imposición mínima de grupos multinacionales y grupos nacionales de gran magnitud</w:t>
                        </w:r>
                      </w:hyperlink>
                      <w:r w:rsidRPr="005437B0">
                        <w:rPr>
                          <w:rFonts w:ascii="Verdana" w:hAnsi="Verdana"/>
                          <w:color w:val="040B12" w:themeColor="accent1" w:themeShade="80"/>
                        </w:rPr>
                        <w:t xml:space="preserve"> (Ref.: 192/2024)</w:t>
                      </w:r>
                    </w:p>
                    <w:p w14:paraId="741E2DC7" w14:textId="1BF0760D" w:rsidR="00E34CE3" w:rsidRPr="005437B0" w:rsidRDefault="00E34CE3" w:rsidP="006226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after="0" w:line="276" w:lineRule="auto"/>
                        <w:ind w:right="218"/>
                        <w:jc w:val="both"/>
                        <w:rPr>
                          <w:rFonts w:ascii="Verdana" w:hAnsi="Verdana"/>
                          <w:color w:val="040B12" w:themeColor="accent1" w:themeShade="80"/>
                        </w:rPr>
                      </w:pPr>
                      <w:hyperlink r:id="rId28" w:history="1">
                        <w:r w:rsidRPr="005437B0">
                          <w:rPr>
                            <w:rStyle w:val="Hipervnculo"/>
                            <w:rFonts w:ascii="Verdana" w:hAnsi="Verdana"/>
                          </w:rPr>
                          <w:t>Proyecto de RD sobre impuesto complementario para garantizar imposición mínima de grupos multinacionales y grupos nacionales de gran magnitud</w:t>
                        </w:r>
                      </w:hyperlink>
                      <w:r w:rsidRPr="005437B0">
                        <w:rPr>
                          <w:rFonts w:ascii="Verdana" w:hAnsi="Verdana"/>
                          <w:color w:val="040B12" w:themeColor="accent1" w:themeShade="80"/>
                        </w:rPr>
                        <w:t xml:space="preserve"> (Ref.: 155/2024)</w:t>
                      </w:r>
                    </w:p>
                    <w:p w14:paraId="6C9B3A30" w14:textId="5652D525" w:rsidR="00E34CE3" w:rsidRPr="005437B0" w:rsidRDefault="00E34CE3" w:rsidP="00E850D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after="0" w:line="276" w:lineRule="auto"/>
                        <w:ind w:right="218"/>
                        <w:jc w:val="both"/>
                        <w:rPr>
                          <w:rFonts w:ascii="Verdana" w:hAnsi="Verdana"/>
                          <w:color w:val="040B12" w:themeColor="accent1" w:themeShade="80"/>
                        </w:rPr>
                      </w:pPr>
                      <w:hyperlink r:id="rId29" w:history="1">
                        <w:r w:rsidRPr="005437B0">
                          <w:rPr>
                            <w:rStyle w:val="Hipervnculo"/>
                            <w:rFonts w:ascii="Verdana" w:hAnsi="Verdana"/>
                          </w:rPr>
                          <w:t>Anteproyecto de Ley sobre impuesto complementario para garantizar imposición mínima de grupos multinacionales y grupos nacionales de gran magnitud</w:t>
                        </w:r>
                      </w:hyperlink>
                      <w:r w:rsidRPr="005437B0">
                        <w:rPr>
                          <w:rFonts w:ascii="Verdana" w:hAnsi="Verdana"/>
                          <w:color w:val="040B12" w:themeColor="accent1" w:themeShade="80"/>
                        </w:rPr>
                        <w:t xml:space="preserve"> (Ref.: 340/2023)</w:t>
                      </w:r>
                    </w:p>
                    <w:p w14:paraId="14CE8728" w14:textId="014F6720" w:rsidR="00E34CE3" w:rsidRPr="000350B2" w:rsidRDefault="00E34CE3" w:rsidP="00E71C1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240" w:after="0" w:line="276" w:lineRule="auto"/>
                        <w:ind w:right="218"/>
                        <w:jc w:val="both"/>
                        <w:rPr>
                          <w:rFonts w:ascii="Verdana" w:hAnsi="Verdana"/>
                          <w:color w:val="040B12" w:themeColor="accent1" w:themeShade="80"/>
                        </w:rPr>
                      </w:pPr>
                      <w:hyperlink r:id="rId30" w:history="1">
                        <w:r w:rsidRPr="00E34CE3">
                          <w:rPr>
                            <w:rStyle w:val="Hipervnculo"/>
                            <w:rFonts w:ascii="Verdana" w:hAnsi="Verdana"/>
                          </w:rPr>
                          <w:t>Consulta pública para la transposición de la Directiva 2022_2523 sobre tipo mínimo grupos sociedades</w:t>
                        </w:r>
                      </w:hyperlink>
                      <w:r>
                        <w:rPr>
                          <w:rFonts w:ascii="Verdana" w:hAnsi="Verdana"/>
                          <w:color w:val="040B12" w:themeColor="accent1" w:themeShade="80"/>
                        </w:rPr>
                        <w:t xml:space="preserve"> (Ref.: 057/2023)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F55F0" w:rsidSect="00F35315">
      <w:footerReference w:type="default" r:id="rId31"/>
      <w:pgSz w:w="11906" w:h="16838"/>
      <w:pgMar w:top="1417" w:right="1701" w:bottom="1417" w:left="1701" w:header="708" w:footer="708" w:gutter="0"/>
      <w:pgBorders w:offsetFrom="page">
        <w:top w:val="thinThickSmallGap" w:sz="18" w:space="24" w:color="082533" w:themeColor="accent3" w:themeShade="80"/>
        <w:left w:val="thinThickSmallGap" w:sz="18" w:space="24" w:color="082533" w:themeColor="accent3" w:themeShade="80"/>
        <w:bottom w:val="thickThinSmallGap" w:sz="18" w:space="24" w:color="082533" w:themeColor="accent3" w:themeShade="80"/>
        <w:right w:val="thickThinSmallGap" w:sz="18" w:space="24" w:color="082533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27A8B" w14:textId="77777777" w:rsidR="00526410" w:rsidRDefault="00526410" w:rsidP="008B3273">
      <w:pPr>
        <w:spacing w:after="0" w:line="240" w:lineRule="auto"/>
      </w:pPr>
      <w:r>
        <w:separator/>
      </w:r>
    </w:p>
  </w:endnote>
  <w:endnote w:type="continuationSeparator" w:id="0">
    <w:p w14:paraId="10283764" w14:textId="77777777" w:rsidR="00526410" w:rsidRDefault="00526410" w:rsidP="008B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8535679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0B57EF36" w14:textId="2C6BCE53" w:rsidR="002F4F59" w:rsidRPr="0048568E" w:rsidRDefault="002F4F59">
        <w:pPr>
          <w:pStyle w:val="Piedepgina"/>
          <w:jc w:val="right"/>
          <w:rPr>
            <w:rFonts w:ascii="Verdana" w:hAnsi="Verdana"/>
            <w:sz w:val="18"/>
            <w:szCs w:val="18"/>
          </w:rPr>
        </w:pPr>
        <w:r w:rsidRPr="0048568E">
          <w:rPr>
            <w:rFonts w:ascii="Verdana" w:hAnsi="Verdana"/>
            <w:sz w:val="18"/>
            <w:szCs w:val="18"/>
          </w:rPr>
          <w:fldChar w:fldCharType="begin"/>
        </w:r>
        <w:r w:rsidRPr="0048568E">
          <w:rPr>
            <w:rFonts w:ascii="Verdana" w:hAnsi="Verdana"/>
            <w:sz w:val="18"/>
            <w:szCs w:val="18"/>
          </w:rPr>
          <w:instrText>PAGE   \* MERGEFORMAT</w:instrText>
        </w:r>
        <w:r w:rsidRPr="0048568E">
          <w:rPr>
            <w:rFonts w:ascii="Verdana" w:hAnsi="Verdana"/>
            <w:sz w:val="18"/>
            <w:szCs w:val="18"/>
          </w:rPr>
          <w:fldChar w:fldCharType="separate"/>
        </w:r>
        <w:r w:rsidRPr="0048568E">
          <w:rPr>
            <w:rFonts w:ascii="Verdana" w:hAnsi="Verdana"/>
            <w:sz w:val="18"/>
            <w:szCs w:val="18"/>
          </w:rPr>
          <w:t>2</w:t>
        </w:r>
        <w:r w:rsidRPr="0048568E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3468AD12" w14:textId="53F37973" w:rsidR="002F4F59" w:rsidRDefault="002F4F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99C46" w14:textId="77777777" w:rsidR="00526410" w:rsidRDefault="00526410" w:rsidP="008B3273">
      <w:pPr>
        <w:spacing w:after="0" w:line="240" w:lineRule="auto"/>
      </w:pPr>
      <w:r>
        <w:separator/>
      </w:r>
    </w:p>
  </w:footnote>
  <w:footnote w:type="continuationSeparator" w:id="0">
    <w:p w14:paraId="5B519904" w14:textId="77777777" w:rsidR="00526410" w:rsidRDefault="00526410" w:rsidP="008B3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60A4"/>
    <w:multiLevelType w:val="multilevel"/>
    <w:tmpl w:val="6638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38417B"/>
    <w:multiLevelType w:val="hybridMultilevel"/>
    <w:tmpl w:val="20F6E4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40B12" w:themeColor="accent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03DDE"/>
    <w:multiLevelType w:val="multilevel"/>
    <w:tmpl w:val="5062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4935491">
    <w:abstractNumId w:val="1"/>
  </w:num>
  <w:num w:numId="2" w16cid:durableId="1086875785">
    <w:abstractNumId w:val="2"/>
  </w:num>
  <w:num w:numId="3" w16cid:durableId="6031537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73"/>
    <w:rsid w:val="000002D7"/>
    <w:rsid w:val="000043C2"/>
    <w:rsid w:val="000130BC"/>
    <w:rsid w:val="000145F7"/>
    <w:rsid w:val="00014B9B"/>
    <w:rsid w:val="00023826"/>
    <w:rsid w:val="00030DFD"/>
    <w:rsid w:val="00031467"/>
    <w:rsid w:val="000324C9"/>
    <w:rsid w:val="000350B2"/>
    <w:rsid w:val="00047DA6"/>
    <w:rsid w:val="00065831"/>
    <w:rsid w:val="00073B2F"/>
    <w:rsid w:val="00076276"/>
    <w:rsid w:val="00086E4D"/>
    <w:rsid w:val="000972DE"/>
    <w:rsid w:val="000B39BA"/>
    <w:rsid w:val="000B5006"/>
    <w:rsid w:val="000B6602"/>
    <w:rsid w:val="000C34A3"/>
    <w:rsid w:val="000F3237"/>
    <w:rsid w:val="00103B3D"/>
    <w:rsid w:val="00123759"/>
    <w:rsid w:val="00135136"/>
    <w:rsid w:val="00143C74"/>
    <w:rsid w:val="00170440"/>
    <w:rsid w:val="00190316"/>
    <w:rsid w:val="00197B77"/>
    <w:rsid w:val="001A1FAB"/>
    <w:rsid w:val="001B61F6"/>
    <w:rsid w:val="001C720F"/>
    <w:rsid w:val="001D11B1"/>
    <w:rsid w:val="001E024D"/>
    <w:rsid w:val="001E3839"/>
    <w:rsid w:val="00201A3A"/>
    <w:rsid w:val="00215583"/>
    <w:rsid w:val="00247ABE"/>
    <w:rsid w:val="002501EB"/>
    <w:rsid w:val="002507AB"/>
    <w:rsid w:val="00261A2E"/>
    <w:rsid w:val="00285357"/>
    <w:rsid w:val="002867A2"/>
    <w:rsid w:val="00291B8B"/>
    <w:rsid w:val="00293D8F"/>
    <w:rsid w:val="00294030"/>
    <w:rsid w:val="002B20E7"/>
    <w:rsid w:val="002B6DF0"/>
    <w:rsid w:val="002D0EFE"/>
    <w:rsid w:val="002E0175"/>
    <w:rsid w:val="002E54BE"/>
    <w:rsid w:val="002E682A"/>
    <w:rsid w:val="002F4F59"/>
    <w:rsid w:val="00321947"/>
    <w:rsid w:val="00324E4C"/>
    <w:rsid w:val="003333E9"/>
    <w:rsid w:val="003368D4"/>
    <w:rsid w:val="00341A92"/>
    <w:rsid w:val="00352CED"/>
    <w:rsid w:val="003536DD"/>
    <w:rsid w:val="00356804"/>
    <w:rsid w:val="00366B6E"/>
    <w:rsid w:val="0037180C"/>
    <w:rsid w:val="00380265"/>
    <w:rsid w:val="00390FD9"/>
    <w:rsid w:val="00391D29"/>
    <w:rsid w:val="003A0DD2"/>
    <w:rsid w:val="003B04B5"/>
    <w:rsid w:val="003B7C3C"/>
    <w:rsid w:val="003D7239"/>
    <w:rsid w:val="003D77F4"/>
    <w:rsid w:val="003E51BF"/>
    <w:rsid w:val="00401963"/>
    <w:rsid w:val="0041386B"/>
    <w:rsid w:val="00415C45"/>
    <w:rsid w:val="0042209D"/>
    <w:rsid w:val="00423000"/>
    <w:rsid w:val="004265CD"/>
    <w:rsid w:val="00434C1E"/>
    <w:rsid w:val="004523E3"/>
    <w:rsid w:val="00457940"/>
    <w:rsid w:val="0046401A"/>
    <w:rsid w:val="00472445"/>
    <w:rsid w:val="00477469"/>
    <w:rsid w:val="0048568E"/>
    <w:rsid w:val="004A1C04"/>
    <w:rsid w:val="004C7B9A"/>
    <w:rsid w:val="004D2C5B"/>
    <w:rsid w:val="004D7AFD"/>
    <w:rsid w:val="004E25B7"/>
    <w:rsid w:val="004F11DA"/>
    <w:rsid w:val="004F3300"/>
    <w:rsid w:val="004F70D5"/>
    <w:rsid w:val="00512E12"/>
    <w:rsid w:val="005200B5"/>
    <w:rsid w:val="00521ED3"/>
    <w:rsid w:val="00526410"/>
    <w:rsid w:val="005437B0"/>
    <w:rsid w:val="005444B2"/>
    <w:rsid w:val="00544B51"/>
    <w:rsid w:val="00552BA6"/>
    <w:rsid w:val="00556B19"/>
    <w:rsid w:val="00574FE6"/>
    <w:rsid w:val="00582952"/>
    <w:rsid w:val="00595675"/>
    <w:rsid w:val="00597685"/>
    <w:rsid w:val="005B2B8B"/>
    <w:rsid w:val="005B4EFA"/>
    <w:rsid w:val="005D344A"/>
    <w:rsid w:val="005D43BE"/>
    <w:rsid w:val="005D75E2"/>
    <w:rsid w:val="005F0A3D"/>
    <w:rsid w:val="005F5772"/>
    <w:rsid w:val="00602D36"/>
    <w:rsid w:val="0060552E"/>
    <w:rsid w:val="0061484D"/>
    <w:rsid w:val="0061657A"/>
    <w:rsid w:val="006247C4"/>
    <w:rsid w:val="00625A9E"/>
    <w:rsid w:val="006318E0"/>
    <w:rsid w:val="006356B8"/>
    <w:rsid w:val="00662D1F"/>
    <w:rsid w:val="0066561A"/>
    <w:rsid w:val="00672548"/>
    <w:rsid w:val="00672561"/>
    <w:rsid w:val="0068141F"/>
    <w:rsid w:val="00682EFF"/>
    <w:rsid w:val="00690277"/>
    <w:rsid w:val="0069039F"/>
    <w:rsid w:val="006946D8"/>
    <w:rsid w:val="006B02A4"/>
    <w:rsid w:val="006B1179"/>
    <w:rsid w:val="006B41AD"/>
    <w:rsid w:val="006D0942"/>
    <w:rsid w:val="006D490B"/>
    <w:rsid w:val="006E684E"/>
    <w:rsid w:val="006E7EB5"/>
    <w:rsid w:val="006E7ED9"/>
    <w:rsid w:val="006F27C5"/>
    <w:rsid w:val="00707FB3"/>
    <w:rsid w:val="0072545D"/>
    <w:rsid w:val="00737DDB"/>
    <w:rsid w:val="007440A4"/>
    <w:rsid w:val="007453F8"/>
    <w:rsid w:val="00745E53"/>
    <w:rsid w:val="00753D28"/>
    <w:rsid w:val="00763587"/>
    <w:rsid w:val="00765C64"/>
    <w:rsid w:val="00772A27"/>
    <w:rsid w:val="007758C6"/>
    <w:rsid w:val="00780025"/>
    <w:rsid w:val="00780F45"/>
    <w:rsid w:val="00790485"/>
    <w:rsid w:val="00795549"/>
    <w:rsid w:val="007D123F"/>
    <w:rsid w:val="007E73FB"/>
    <w:rsid w:val="007F24C5"/>
    <w:rsid w:val="00816D97"/>
    <w:rsid w:val="00825F9E"/>
    <w:rsid w:val="008269A0"/>
    <w:rsid w:val="00835F93"/>
    <w:rsid w:val="00844522"/>
    <w:rsid w:val="00856017"/>
    <w:rsid w:val="00856D94"/>
    <w:rsid w:val="00860058"/>
    <w:rsid w:val="008620F6"/>
    <w:rsid w:val="00871110"/>
    <w:rsid w:val="00872A91"/>
    <w:rsid w:val="00874AAE"/>
    <w:rsid w:val="00877BD2"/>
    <w:rsid w:val="0088100D"/>
    <w:rsid w:val="008B3273"/>
    <w:rsid w:val="009022F0"/>
    <w:rsid w:val="0091538A"/>
    <w:rsid w:val="00942A94"/>
    <w:rsid w:val="009518CF"/>
    <w:rsid w:val="00956DFB"/>
    <w:rsid w:val="0096715B"/>
    <w:rsid w:val="0096758F"/>
    <w:rsid w:val="0099105E"/>
    <w:rsid w:val="009917DC"/>
    <w:rsid w:val="00996AC3"/>
    <w:rsid w:val="009A6D38"/>
    <w:rsid w:val="009C04B3"/>
    <w:rsid w:val="009C3ED3"/>
    <w:rsid w:val="009C5750"/>
    <w:rsid w:val="009C7542"/>
    <w:rsid w:val="009E3BB9"/>
    <w:rsid w:val="009E50E3"/>
    <w:rsid w:val="009E5980"/>
    <w:rsid w:val="00A04F66"/>
    <w:rsid w:val="00A125AD"/>
    <w:rsid w:val="00A2524F"/>
    <w:rsid w:val="00A26FB1"/>
    <w:rsid w:val="00A31970"/>
    <w:rsid w:val="00A32A2A"/>
    <w:rsid w:val="00A400D0"/>
    <w:rsid w:val="00A45EDC"/>
    <w:rsid w:val="00A741F0"/>
    <w:rsid w:val="00AA3A0E"/>
    <w:rsid w:val="00AA7F32"/>
    <w:rsid w:val="00AB32C4"/>
    <w:rsid w:val="00AB3C89"/>
    <w:rsid w:val="00AC2FB0"/>
    <w:rsid w:val="00AC31FB"/>
    <w:rsid w:val="00AD7299"/>
    <w:rsid w:val="00AF48D4"/>
    <w:rsid w:val="00B16311"/>
    <w:rsid w:val="00B17676"/>
    <w:rsid w:val="00B32D9D"/>
    <w:rsid w:val="00B359E1"/>
    <w:rsid w:val="00B36416"/>
    <w:rsid w:val="00B4301A"/>
    <w:rsid w:val="00B50C3E"/>
    <w:rsid w:val="00B5263E"/>
    <w:rsid w:val="00B61DAF"/>
    <w:rsid w:val="00B67E4A"/>
    <w:rsid w:val="00B7392F"/>
    <w:rsid w:val="00B73D83"/>
    <w:rsid w:val="00B84F89"/>
    <w:rsid w:val="00B95CE3"/>
    <w:rsid w:val="00BA7BA7"/>
    <w:rsid w:val="00BB5E61"/>
    <w:rsid w:val="00BD64AA"/>
    <w:rsid w:val="00BE6994"/>
    <w:rsid w:val="00BF0C33"/>
    <w:rsid w:val="00BF4640"/>
    <w:rsid w:val="00BF4BFF"/>
    <w:rsid w:val="00BF6E20"/>
    <w:rsid w:val="00C013F5"/>
    <w:rsid w:val="00C20AE5"/>
    <w:rsid w:val="00C22835"/>
    <w:rsid w:val="00C269A2"/>
    <w:rsid w:val="00C55EE3"/>
    <w:rsid w:val="00C603C8"/>
    <w:rsid w:val="00C7299C"/>
    <w:rsid w:val="00CA0B33"/>
    <w:rsid w:val="00CA12F5"/>
    <w:rsid w:val="00CB7647"/>
    <w:rsid w:val="00CD0854"/>
    <w:rsid w:val="00CE6D61"/>
    <w:rsid w:val="00CF3D8E"/>
    <w:rsid w:val="00CF55F0"/>
    <w:rsid w:val="00D04466"/>
    <w:rsid w:val="00D05375"/>
    <w:rsid w:val="00D12F97"/>
    <w:rsid w:val="00D23061"/>
    <w:rsid w:val="00D2752E"/>
    <w:rsid w:val="00D301E4"/>
    <w:rsid w:val="00D32540"/>
    <w:rsid w:val="00D337EF"/>
    <w:rsid w:val="00D3429E"/>
    <w:rsid w:val="00D405C8"/>
    <w:rsid w:val="00D41E99"/>
    <w:rsid w:val="00D52830"/>
    <w:rsid w:val="00D57B3F"/>
    <w:rsid w:val="00D603B4"/>
    <w:rsid w:val="00D81499"/>
    <w:rsid w:val="00D85595"/>
    <w:rsid w:val="00DB1750"/>
    <w:rsid w:val="00DD0811"/>
    <w:rsid w:val="00DD187E"/>
    <w:rsid w:val="00DD4EA9"/>
    <w:rsid w:val="00DE0398"/>
    <w:rsid w:val="00DE67DD"/>
    <w:rsid w:val="00DE7EBC"/>
    <w:rsid w:val="00E10478"/>
    <w:rsid w:val="00E15848"/>
    <w:rsid w:val="00E265F9"/>
    <w:rsid w:val="00E34CE3"/>
    <w:rsid w:val="00E40F8B"/>
    <w:rsid w:val="00E45F6D"/>
    <w:rsid w:val="00E469CC"/>
    <w:rsid w:val="00E532F4"/>
    <w:rsid w:val="00E60E3B"/>
    <w:rsid w:val="00E70BBA"/>
    <w:rsid w:val="00E74F6E"/>
    <w:rsid w:val="00E774ED"/>
    <w:rsid w:val="00E81421"/>
    <w:rsid w:val="00E82A69"/>
    <w:rsid w:val="00E95E59"/>
    <w:rsid w:val="00EA4B7F"/>
    <w:rsid w:val="00EB3496"/>
    <w:rsid w:val="00ED0012"/>
    <w:rsid w:val="00ED2317"/>
    <w:rsid w:val="00ED5BA1"/>
    <w:rsid w:val="00F02501"/>
    <w:rsid w:val="00F16CAF"/>
    <w:rsid w:val="00F23CA8"/>
    <w:rsid w:val="00F2790E"/>
    <w:rsid w:val="00F34E90"/>
    <w:rsid w:val="00F35315"/>
    <w:rsid w:val="00F46E5D"/>
    <w:rsid w:val="00F52570"/>
    <w:rsid w:val="00F647C9"/>
    <w:rsid w:val="00F76C5B"/>
    <w:rsid w:val="00F85640"/>
    <w:rsid w:val="00F864EA"/>
    <w:rsid w:val="00F918ED"/>
    <w:rsid w:val="00F95F09"/>
    <w:rsid w:val="00FA4B0B"/>
    <w:rsid w:val="00FC28DF"/>
    <w:rsid w:val="00FC53C1"/>
    <w:rsid w:val="00FC78AD"/>
    <w:rsid w:val="00FD36CB"/>
    <w:rsid w:val="00FD6295"/>
    <w:rsid w:val="00FE4CA8"/>
    <w:rsid w:val="00FF2455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EF6E8"/>
  <w15:chartTrackingRefBased/>
  <w15:docId w15:val="{F538A680-B0AD-4A4B-9B33-C31E2881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273"/>
  </w:style>
  <w:style w:type="paragraph" w:styleId="Piedepgina">
    <w:name w:val="footer"/>
    <w:basedOn w:val="Normal"/>
    <w:link w:val="PiedepginaCar"/>
    <w:uiPriority w:val="99"/>
    <w:unhideWhenUsed/>
    <w:rsid w:val="008B3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273"/>
  </w:style>
  <w:style w:type="paragraph" w:styleId="Sinespaciado">
    <w:name w:val="No Spacing"/>
    <w:uiPriority w:val="1"/>
    <w:qFormat/>
    <w:rsid w:val="008B327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B3273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8B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B3273"/>
    <w:rPr>
      <w:color w:val="114B6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300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DD0811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95F09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86E4D"/>
    <w:rPr>
      <w:color w:val="F0B346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76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hyperlink" Target="http://gestiondocumental.inverco.es/login.asp?loadDocsRef=134/2025" TargetMode="External"/><Relationship Id="rId26" Type="http://schemas.openxmlformats.org/officeDocument/2006/relationships/hyperlink" Target="http://gestiondocumental.inverco.es/login.asp?loadDocsRef=363/2024" TargetMode="External"/><Relationship Id="rId3" Type="http://schemas.openxmlformats.org/officeDocument/2006/relationships/styles" Target="styles.xml"/><Relationship Id="rId21" Type="http://schemas.openxmlformats.org/officeDocument/2006/relationships/hyperlink" Target="http://gestiondocumental.inverco.es/login.asp?loadDocsRef=363/202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gestiondocumental.inverco.es/login.asp?loadDocsRef=393/2024" TargetMode="External"/><Relationship Id="rId25" Type="http://schemas.openxmlformats.org/officeDocument/2006/relationships/hyperlink" Target="http://gestiondocumental.inverco.es/login.asp?loadDocsRef=057/20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estiondocumental.inverco.es/login.asp?loadDocsRef=134/2025" TargetMode="External"/><Relationship Id="rId20" Type="http://schemas.openxmlformats.org/officeDocument/2006/relationships/image" Target="media/image6.svg"/><Relationship Id="rId29" Type="http://schemas.openxmlformats.org/officeDocument/2006/relationships/hyperlink" Target="http://gestiondocumental.inverco.es/login.asp?loadDocsRef=340/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gestiondocumental.inverco.es/login.asp?loadDocsRef=340/202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svg"/><Relationship Id="rId23" Type="http://schemas.openxmlformats.org/officeDocument/2006/relationships/hyperlink" Target="http://gestiondocumental.inverco.es/login.asp?loadDocsRef=155/2024" TargetMode="External"/><Relationship Id="rId28" Type="http://schemas.openxmlformats.org/officeDocument/2006/relationships/hyperlink" Target="http://gestiondocumental.inverco.es/login.asp?loadDocsRef=155/2024" TargetMode="External"/><Relationship Id="rId10" Type="http://schemas.openxmlformats.org/officeDocument/2006/relationships/hyperlink" Target="https://x.com/INVERCOinfo" TargetMode="External"/><Relationship Id="rId19" Type="http://schemas.openxmlformats.org/officeDocument/2006/relationships/hyperlink" Target="http://gestiondocumental.inverco.es/login.asp?loadDocsRef=393/2024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://gestiondocumental.inverco.es/login.asp?loadDocsRef=192/2024" TargetMode="External"/><Relationship Id="rId27" Type="http://schemas.openxmlformats.org/officeDocument/2006/relationships/hyperlink" Target="http://gestiondocumental.inverco.es/login.asp?loadDocsRef=192/2024" TargetMode="External"/><Relationship Id="rId30" Type="http://schemas.openxmlformats.org/officeDocument/2006/relationships/hyperlink" Target="http://gestiondocumental.inverco.es/login.asp?loadDocsRef=057/2023" TargetMode="External"/><Relationship Id="rId8" Type="http://schemas.openxmlformats.org/officeDocument/2006/relationships/hyperlink" Target="https://es.linkedin.com/company/inverco" TargetMode="External"/></Relationships>
</file>

<file path=word/theme/theme1.xml><?xml version="1.0" encoding="utf-8"?>
<a:theme xmlns:a="http://schemas.openxmlformats.org/drawingml/2006/main" name="Tema de Office">
  <a:themeElements>
    <a:clrScheme name="INVERCO">
      <a:dk1>
        <a:srgbClr val="0B3041"/>
      </a:dk1>
      <a:lt1>
        <a:srgbClr val="FFFFFF"/>
      </a:lt1>
      <a:dk2>
        <a:srgbClr val="456B83"/>
      </a:dk2>
      <a:lt2>
        <a:srgbClr val="DCEAF7"/>
      </a:lt2>
      <a:accent1>
        <a:srgbClr val="081726"/>
      </a:accent1>
      <a:accent2>
        <a:srgbClr val="002060"/>
      </a:accent2>
      <a:accent3>
        <a:srgbClr val="114B66"/>
      </a:accent3>
      <a:accent4>
        <a:srgbClr val="C15D3E"/>
      </a:accent4>
      <a:accent5>
        <a:srgbClr val="F0B346"/>
      </a:accent5>
      <a:accent6>
        <a:srgbClr val="F7E9DC"/>
      </a:accent6>
      <a:hlink>
        <a:srgbClr val="114B66"/>
      </a:hlink>
      <a:folHlink>
        <a:srgbClr val="F0B34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C36B8-5CB3-4514-8CEC-96239480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Ladehesa Gil</dc:creator>
  <cp:keywords/>
  <dc:description/>
  <cp:lastModifiedBy>Katherine Carranza</cp:lastModifiedBy>
  <cp:revision>6</cp:revision>
  <cp:lastPrinted>2022-07-19T08:24:00Z</cp:lastPrinted>
  <dcterms:created xsi:type="dcterms:W3CDTF">2025-05-21T08:38:00Z</dcterms:created>
  <dcterms:modified xsi:type="dcterms:W3CDTF">2025-06-03T16:58:00Z</dcterms:modified>
</cp:coreProperties>
</file>